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color w:val="000000"/>
        </w:rPr>
        <w:t xml:space="preserve">      </w:t>
      </w:r>
      <w:r>
        <w:rPr/>
        <w:drawing>
          <wp:inline distT="0" distB="0" distL="0" distR="0">
            <wp:extent cx="588645" cy="66230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135" t="-1841" r="-2135" b="-1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color w:val="000000"/>
        </w:rPr>
        <w:t xml:space="preserve">                                                     </w:t>
      </w:r>
    </w:p>
    <w:p>
      <w:pPr>
        <w:pStyle w:val="Normal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</w:r>
    </w:p>
    <w:p>
      <w:pPr>
        <w:pStyle w:val="Normal"/>
        <w:jc w:val="center"/>
        <w:rPr>
          <w:rFonts w:ascii="Arial" w:hAnsi="Arial" w:eastAsia="Times New Roman" w:cs="Arial"/>
          <w:b/>
          <w:sz w:val="20"/>
          <w:szCs w:val="24"/>
        </w:rPr>
      </w:pPr>
      <w:r>
        <w:rPr>
          <w:rFonts w:eastAsia="Times New Roman" w:cs="Arial" w:ascii="Arial" w:hAnsi="Arial"/>
          <w:b/>
          <w:sz w:val="20"/>
          <w:szCs w:val="24"/>
        </w:rPr>
        <w:t>Б Е Л Г О Р О Д С К А Я  О Б Л А С Т Ь</w:t>
      </w:r>
    </w:p>
    <w:p>
      <w:pPr>
        <w:pStyle w:val="Normal"/>
        <w:jc w:val="center"/>
        <w:rPr>
          <w:rFonts w:ascii="Arial" w:hAnsi="Arial" w:eastAsia="Times New Roman" w:cs="Arial"/>
          <w:b/>
          <w:sz w:val="20"/>
          <w:szCs w:val="24"/>
        </w:rPr>
      </w:pPr>
      <w:r>
        <w:rPr>
          <w:rFonts w:eastAsia="Times New Roman" w:cs="Arial" w:ascii="Arial" w:hAnsi="Arial"/>
          <w:b/>
          <w:sz w:val="20"/>
          <w:szCs w:val="24"/>
        </w:rPr>
      </w:r>
    </w:p>
    <w:p>
      <w:pPr>
        <w:pStyle w:val="Normal"/>
        <w:jc w:val="center"/>
        <w:rPr>
          <w:rFonts w:ascii="Arial" w:hAnsi="Arial" w:eastAsia="Times New Roman" w:cs="Arial"/>
          <w:sz w:val="32"/>
          <w:szCs w:val="32"/>
        </w:rPr>
      </w:pPr>
      <w:r>
        <w:rPr>
          <w:rFonts w:eastAsia="Times New Roman" w:cs="Arial Narrow" w:ascii="Arial Narrow" w:hAnsi="Arial Narrow"/>
          <w:b/>
          <w:sz w:val="32"/>
          <w:szCs w:val="32"/>
        </w:rPr>
        <w:t>АДМИНИСТРАЦИЯ ВАЛУЙСКОГО МУНИЦИПАЛЬНОГО ОКРУГА</w:t>
      </w:r>
    </w:p>
    <w:p>
      <w:pPr>
        <w:pStyle w:val="Normal"/>
        <w:jc w:val="center"/>
        <w:rPr>
          <w:rFonts w:ascii="Arial" w:hAnsi="Arial" w:eastAsia="Times New Roman" w:cs="Arial"/>
          <w:b/>
          <w:sz w:val="20"/>
          <w:szCs w:val="32"/>
        </w:rPr>
      </w:pPr>
      <w:r>
        <w:rPr>
          <w:rFonts w:eastAsia="Times New Roman" w:cs="Arial" w:ascii="Arial" w:hAnsi="Arial"/>
          <w:sz w:val="32"/>
          <w:szCs w:val="32"/>
        </w:rPr>
        <w:t>П О С Т А Н О В Л Е Н И Е</w:t>
      </w:r>
    </w:p>
    <w:p>
      <w:pPr>
        <w:pStyle w:val="Normal"/>
        <w:jc w:val="center"/>
        <w:rPr>
          <w:rFonts w:ascii="Arial" w:hAnsi="Arial" w:eastAsia="Times New Roman" w:cs="Arial"/>
          <w:b/>
          <w:sz w:val="20"/>
          <w:szCs w:val="32"/>
        </w:rPr>
      </w:pPr>
      <w:r>
        <w:rPr>
          <w:rFonts w:eastAsia="Times New Roman" w:cs="Arial" w:ascii="Arial" w:hAnsi="Arial"/>
          <w:b/>
          <w:sz w:val="20"/>
          <w:szCs w:val="32"/>
        </w:rPr>
      </w:r>
    </w:p>
    <w:p>
      <w:pPr>
        <w:pStyle w:val="Normal"/>
        <w:jc w:val="center"/>
        <w:rPr>
          <w:rFonts w:ascii="Tinos;Times New Roman" w:hAnsi="Tinos;Times New Roman" w:eastAsia="Times New Roman" w:cs="Tinos;Times New Roman"/>
          <w:b/>
          <w:szCs w:val="28"/>
        </w:rPr>
      </w:pPr>
      <w:r>
        <w:rPr>
          <w:rFonts w:eastAsia="Times New Roman" w:cs="Arial" w:ascii="Arial" w:hAnsi="Arial"/>
          <w:b/>
          <w:sz w:val="20"/>
        </w:rPr>
        <w:t>Валуйки</w:t>
      </w:r>
    </w:p>
    <w:p>
      <w:pPr>
        <w:pStyle w:val="Normal"/>
        <w:rPr>
          <w:rFonts w:ascii="Tinos;Times New Roman" w:hAnsi="Tinos;Times New Roman" w:eastAsia="Times New Roman" w:cs="Tinos;Times New Roman"/>
          <w:b/>
          <w:szCs w:val="28"/>
        </w:rPr>
      </w:pPr>
      <w:r>
        <w:rPr>
          <w:rFonts w:eastAsia="Times New Roman" w:cs="Tinos;Times New Roman" w:ascii="Tinos;Times New Roman" w:hAnsi="Tinos;Times New Roman"/>
          <w:b/>
          <w:szCs w:val="28"/>
        </w:rPr>
      </w:r>
    </w:p>
    <w:p>
      <w:pPr>
        <w:pStyle w:val="Normal"/>
        <w:jc w:val="center"/>
        <w:rPr>
          <w:rFonts w:ascii="Arial" w:hAnsi="Arial" w:eastAsia="Arial" w:cs="Arial"/>
          <w:b/>
          <w:sz w:val="20"/>
        </w:rPr>
      </w:pPr>
      <w:r>
        <w:rPr>
          <w:rFonts w:eastAsia="Tinos;Times New Roman" w:cs="Tinos;Times New Roman" w:ascii="Tinos;Times New Roman" w:hAnsi="Tinos;Times New Roman"/>
          <w:b/>
          <w:szCs w:val="28"/>
        </w:rPr>
        <w:t xml:space="preserve">        </w:t>
      </w:r>
    </w:p>
    <w:p>
      <w:pPr>
        <w:pStyle w:val="Normal"/>
        <w:tabs>
          <w:tab w:val="clear" w:pos="720"/>
          <w:tab w:val="left" w:pos="0" w:leader="none"/>
        </w:tabs>
        <w:rPr>
          <w:rFonts w:ascii="Tinos;Times New Roman" w:hAnsi="Tinos;Times New Roman" w:eastAsia="Times New Roman" w:cs="Tinos;Times New Roman"/>
          <w:b/>
          <w:color w:val="000000"/>
          <w:szCs w:val="28"/>
        </w:rPr>
      </w:pPr>
      <w:r>
        <w:rPr>
          <w:rFonts w:eastAsia="Arial" w:cs="Arial" w:ascii="Arial" w:hAnsi="Arial"/>
          <w:b/>
          <w:sz w:val="20"/>
        </w:rPr>
        <w:t xml:space="preserve"> </w:t>
      </w:r>
      <w:r>
        <w:rPr>
          <w:rFonts w:eastAsia="Times New Roman" w:cs="Arial" w:ascii="Arial" w:hAnsi="Arial"/>
          <w:b/>
          <w:sz w:val="20"/>
        </w:rPr>
        <w:t>«___» ________ 2026 г.                                                                                                           № ___</w:t>
      </w:r>
    </w:p>
    <w:p>
      <w:pPr>
        <w:pStyle w:val="Normal"/>
        <w:rPr>
          <w:rFonts w:ascii="Tinos;Times New Roman" w:hAnsi="Tinos;Times New Roman" w:eastAsia="Times New Roman" w:cs="Tinos;Times New Roman"/>
          <w:b/>
          <w:color w:val="000000"/>
          <w:szCs w:val="28"/>
        </w:rPr>
      </w:pPr>
      <w:r>
        <w:rPr>
          <w:rFonts w:eastAsia="Times New Roman" w:cs="Tinos;Times New Roman" w:ascii="Tinos;Times New Roman" w:hAnsi="Tinos;Times New Roman"/>
          <w:b/>
          <w:color w:val="000000"/>
          <w:szCs w:val="28"/>
        </w:rPr>
      </w:r>
    </w:p>
    <w:p>
      <w:pPr>
        <w:pStyle w:val="Normal"/>
        <w:jc w:val="center"/>
        <w:rPr>
          <w:rFonts w:ascii="Tinos;Times New Roman" w:hAnsi="Tinos;Times New Roman" w:eastAsia="Times New Roman" w:cs="Tinos;Times New Roman"/>
          <w:b/>
          <w:color w:val="000000"/>
          <w:szCs w:val="28"/>
        </w:rPr>
      </w:pPr>
      <w:r>
        <w:rPr>
          <w:rFonts w:eastAsia="Times New Roman" w:cs="Tinos;Times New Roman" w:ascii="Tinos;Times New Roman" w:hAnsi="Tinos;Times New Roman"/>
          <w:b/>
          <w:color w:val="000000"/>
          <w:szCs w:val="28"/>
        </w:rPr>
      </w:r>
    </w:p>
    <w:p>
      <w:pPr>
        <w:pStyle w:val="Heading2"/>
        <w:keepNext w:val="false"/>
        <w:numPr>
          <w:ilvl w:val="1"/>
          <w:numId w:val="1"/>
        </w:numPr>
        <w:shd w:val="clear" w:color="auto" w:fill="FFFFFF"/>
        <w:spacing w:before="0" w:after="210"/>
        <w:rPr>
          <w:bCs/>
          <w:color w:val="000000"/>
          <w:szCs w:val="28"/>
          <w:shd w:fill="FFFFFF" w:val="clear"/>
        </w:rPr>
      </w:pPr>
      <w:r>
        <w:rPr>
          <w:bCs/>
          <w:color w:val="000000"/>
          <w:szCs w:val="28"/>
          <w:shd w:fill="FFFFFF" w:val="clear"/>
        </w:rPr>
        <w:t>О внесении изменений в постановление администрации Валуйского     муниципального округа от 26 марта 2025 года № 354 «Об утверждении  Порядка предоставления льготного горячего питания детям участников специальной военной операции, обучающимся в 1-11 классах                муниципальных образовательных организаций (в том числе в случае  гибели (смерти) участников специальной военной операции)»</w:t>
      </w:r>
    </w:p>
    <w:p>
      <w:pPr>
        <w:pStyle w:val="Normal"/>
        <w:shd w:val="clear" w:color="auto" w:fill="FFFFFF"/>
        <w:spacing w:before="0" w:after="210"/>
        <w:rPr>
          <w:bCs/>
          <w:color w:val="000000"/>
          <w:szCs w:val="28"/>
          <w:shd w:fill="FFFFFF" w:val="clear"/>
        </w:rPr>
      </w:pPr>
      <w:r>
        <w:rPr>
          <w:bCs/>
          <w:color w:val="000000"/>
          <w:szCs w:val="28"/>
          <w:shd w:fill="FFFFFF" w:val="clear"/>
        </w:rPr>
      </w:r>
    </w:p>
    <w:p>
      <w:pPr>
        <w:pStyle w:val="ConsPlusTitle"/>
        <w:ind w:firstLine="720"/>
        <w:jc w:val="both"/>
        <w:rPr>
          <w:rFonts w:ascii="Tinos" w:hAnsi="Tinos"/>
          <w:sz w:val="28"/>
          <w:szCs w:val="28"/>
        </w:rPr>
      </w:pPr>
      <w:r>
        <w:rPr>
          <w:rFonts w:cs="Tinos" w:ascii="Tinos" w:hAnsi="Tinos"/>
          <w:b w:val="false"/>
          <w:color w:val="000000"/>
          <w:sz w:val="28"/>
          <w:szCs w:val="28"/>
        </w:rPr>
        <w:t xml:space="preserve">В соответствии с постановлением администрации Валуйского муниципального округа от 7 февраля 2025 года № 111 «О реализации мер поддержки участников специальной военной операции и членов их семей            на территории Валуйского муниципального округа», в целях приведения нормативных правовых актов администрации Валуйского муниципального округа в соответствие с действующим законодательством,                                      </w:t>
      </w:r>
      <w:r>
        <w:rPr>
          <w:rFonts w:cs="Tinos" w:ascii="Tinos" w:hAnsi="Tinos"/>
          <w:color w:val="000000"/>
          <w:sz w:val="28"/>
          <w:szCs w:val="28"/>
        </w:rPr>
        <w:t>п о с т а н о в л я ю:</w:t>
      </w:r>
    </w:p>
    <w:p>
      <w:pPr>
        <w:pStyle w:val="ConsPlusTitle"/>
        <w:ind w:firstLine="851"/>
        <w:jc w:val="both"/>
        <w:rPr>
          <w:rFonts w:ascii="Tinos" w:hAnsi="Tinos"/>
          <w:sz w:val="28"/>
          <w:szCs w:val="28"/>
        </w:rPr>
      </w:pPr>
      <w:r>
        <w:rPr>
          <w:rFonts w:cs="Tinos" w:ascii="Tinos" w:hAnsi="Tinos"/>
          <w:b w:val="false"/>
          <w:color w:val="000000"/>
          <w:sz w:val="28"/>
          <w:szCs w:val="28"/>
        </w:rPr>
        <w:t xml:space="preserve">1. Внести в порядок предоставления льготного горячего питания детям участников специальной военной операции, обучающимся в 1-11 классах муниципальных образовательных организаций (в том числе в случае гибели (смерти) участников специальной военной операции)  (далее — Порядок), утвержденный пунктом 1 постановления администрации Валуйского муниципального округа </w:t>
      </w:r>
      <w:r>
        <w:rPr>
          <w:rFonts w:cs="Tinos" w:ascii="Tinos" w:hAnsi="Tinos"/>
          <w:b w:val="false"/>
          <w:bCs/>
          <w:color w:val="000000"/>
          <w:sz w:val="28"/>
          <w:szCs w:val="28"/>
        </w:rPr>
        <w:t xml:space="preserve">от 26 марта 2025 года № 354               «Об утверждении Порядка предоставления льготного горячего питания детям участников специальной военной операции, обучающимся в 1-11 классах муниципальных образовательных организаций (в том числе в случае гибели (смерти) участников специальной военной операции)» </w:t>
      </w:r>
      <w:r>
        <w:rPr>
          <w:rFonts w:cs="Tinos" w:ascii="Tinos" w:hAnsi="Tinos"/>
          <w:b w:val="false"/>
          <w:color w:val="000000"/>
          <w:sz w:val="28"/>
          <w:szCs w:val="28"/>
        </w:rPr>
        <w:t>(далее - Постановление), следующие изменения:</w:t>
      </w:r>
    </w:p>
    <w:p>
      <w:pPr>
        <w:pStyle w:val="ConsPlusTitle"/>
        <w:ind w:firstLine="851"/>
        <w:jc w:val="both"/>
        <w:rPr>
          <w:rFonts w:ascii="Tinos" w:hAnsi="Tinos"/>
          <w:b w:val="false"/>
          <w:sz w:val="28"/>
          <w:szCs w:val="28"/>
        </w:rPr>
      </w:pPr>
      <w:r>
        <w:rPr>
          <w:rFonts w:ascii="Tinos" w:hAnsi="Tinos"/>
          <w:b w:val="false"/>
          <w:sz w:val="28"/>
          <w:szCs w:val="28"/>
        </w:rPr>
        <w:t>- подпункт 3.2 пункта 3 Порядка дополнить абзацем следующего содержания:</w:t>
      </w:r>
    </w:p>
    <w:p>
      <w:pPr>
        <w:pStyle w:val="ConsPlusNormal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«Общий срок принятия решения о предоставлении/об отказе                  в предоставлении меры поддержки составляет 5 рабочих дней.».</w:t>
      </w:r>
    </w:p>
    <w:p>
      <w:pPr>
        <w:pStyle w:val="ConsPlusNormal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</w:r>
    </w:p>
    <w:p>
      <w:pPr>
        <w:pStyle w:val="ConsPlusTitle"/>
        <w:ind w:firstLine="851"/>
        <w:jc w:val="both"/>
        <w:rPr>
          <w:rFonts w:ascii="Tinos" w:hAnsi="Tinos"/>
          <w:sz w:val="28"/>
          <w:szCs w:val="28"/>
        </w:rPr>
      </w:pPr>
      <w:r>
        <w:rPr>
          <w:rFonts w:cs="Tinos" w:ascii="Tinos" w:hAnsi="Tinos"/>
          <w:b w:val="false"/>
          <w:sz w:val="28"/>
          <w:szCs w:val="28"/>
        </w:rPr>
        <w:t>- подпункт 3.6 пункта 3 Порядка изложить в следующей редакции: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/>
          <w:bCs/>
          <w:color w:val="000000"/>
          <w:szCs w:val="28"/>
        </w:rPr>
        <w:t>«Для предоставления бесплатного двухразового питания один                     из родителей (законных представителей) представляет в муниципальную            образовательную организацию: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/>
          <w:bCs/>
          <w:color w:val="000000"/>
          <w:szCs w:val="28"/>
        </w:rPr>
        <w:t>1) заявление об обеспечении льготным горячим питанием детей             участников специальной военной операции (в том числе в случае гибели (смерти) участников специальной военной операции) (Приложение №1                к настоящему Порядку) (далее – Заявление);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/>
          <w:bCs/>
          <w:color w:val="000000"/>
          <w:szCs w:val="28"/>
        </w:rPr>
        <w:t>2) документ, удостоверяющий личность заявителя;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/>
          <w:bCs/>
          <w:color w:val="000000"/>
          <w:szCs w:val="28"/>
        </w:rPr>
        <w:t>3) документ, подтверждающий родство ребенка с участником СВО    (свидетельство о рождении ребенка, свидетельство об усыновлении             (удочерении) ребенка, свидетельство об установлении отцовства                         в отношении ребенка);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/>
          <w:bCs/>
          <w:color w:val="000000"/>
          <w:szCs w:val="28"/>
        </w:rPr>
        <w:t>4) документ, подтверждающий статус законного представителя ребенка (опекунское удостоверение, решение органа опеки и попечительства                    о назначении опеки или попечительства над ребенком);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/>
          <w:bCs/>
          <w:color w:val="000000"/>
          <w:szCs w:val="28"/>
        </w:rPr>
        <w:t>5) копия документа, подтверждающего участие в специальной военной операции одного из родителей (законных представителей);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/>
          <w:bCs/>
          <w:color w:val="000000"/>
          <w:szCs w:val="28"/>
        </w:rPr>
        <w:t>6) документ подтверждающий смерть (гибель) участника СВО                  при выполнении задач специальной военной операции либо позднее                    указанного периода вследствие увечья (ранения, травмы, контузии)                   или заболевания, полученных при выполнении задач в ходе проведения           специальной военной операции.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/>
        <w:t xml:space="preserve">Заявитель несет ответственность в соответствии с законодательством Российской Федерации за достоверность сведений, содержащихся                    в представляемых им документах. 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/>
          <w:bCs/>
          <w:color w:val="000000"/>
          <w:szCs w:val="28"/>
        </w:rPr>
        <w:t>Лица, участвующие в специальной военной операции, и члены                    их семей (далее - заявители) с целью получения меры поддержки вправе    обратиться в электронном формате предоставления меры поддержки через единый портал государственных и муниципальных услуг (функций).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cs="Tinos" w:ascii="Tinos" w:hAnsi="Tinos"/>
          <w:bCs/>
          <w:color w:val="000000"/>
          <w:szCs w:val="28"/>
        </w:rPr>
        <w:t xml:space="preserve">Предварительная подача заявителем (представителем заявителя)     запроса о предоставлении меры поддержки в упреждающем (проактивном) формате </w:t>
      </w:r>
      <w:r>
        <w:rPr>
          <w:rFonts w:cs="Tinos" w:ascii="Tinos" w:hAnsi="Tinos"/>
          <w:color w:val="000000"/>
          <w:szCs w:val="28"/>
        </w:rPr>
        <w:t xml:space="preserve">или подачи заявителем запроса о предоставлении </w:t>
      </w:r>
      <w:r>
        <w:rPr>
          <w:rFonts w:cs="Tinos" w:ascii="Tinos" w:hAnsi="Tinos"/>
          <w:bCs/>
          <w:color w:val="000000"/>
          <w:szCs w:val="28"/>
        </w:rPr>
        <w:t xml:space="preserve">меры поддержки </w:t>
      </w:r>
      <w:r>
        <w:rPr>
          <w:rFonts w:cs="Tinos" w:ascii="Tinos" w:hAnsi="Tinos"/>
          <w:color w:val="000000"/>
          <w:szCs w:val="28"/>
        </w:rPr>
        <w:t xml:space="preserve">после осуществления организацией, предоставляющей </w:t>
      </w:r>
      <w:r>
        <w:rPr>
          <w:rFonts w:cs="Tinos" w:ascii="Tinos" w:hAnsi="Tinos"/>
          <w:bCs/>
          <w:color w:val="000000"/>
          <w:szCs w:val="28"/>
        </w:rPr>
        <w:t>меру поддержки</w:t>
      </w:r>
      <w:r>
        <w:rPr>
          <w:rFonts w:cs="Tinos" w:ascii="Tinos" w:hAnsi="Tinos"/>
          <w:color w:val="000000"/>
          <w:szCs w:val="28"/>
        </w:rPr>
        <w:t>,       мероприятий в соответствии с пунктом 1 части 1 статьи 7.3 Федерального     закона № 210-ФЗ предусмотрена.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cs="Tinos" w:ascii="Tinos" w:hAnsi="Tinos"/>
          <w:color w:val="000000"/>
          <w:szCs w:val="28"/>
        </w:rPr>
        <w:t xml:space="preserve">Основанием для предоставления </w:t>
      </w:r>
      <w:r>
        <w:rPr>
          <w:rFonts w:cs="Tinos" w:ascii="Tinos" w:hAnsi="Tinos"/>
          <w:bCs/>
          <w:color w:val="000000"/>
          <w:szCs w:val="28"/>
        </w:rPr>
        <w:t xml:space="preserve">меры поддержки </w:t>
      </w:r>
      <w:r>
        <w:rPr>
          <w:rFonts w:cs="Tinos" w:ascii="Tinos" w:hAnsi="Tinos"/>
          <w:color w:val="000000"/>
          <w:szCs w:val="28"/>
        </w:rPr>
        <w:t xml:space="preserve">в упреждающем  (проактивном) режиме является поступление в министерство образования Белгородской области сведений о наличии оснований для предоставления    </w:t>
      </w:r>
      <w:r>
        <w:rPr>
          <w:rFonts w:cs="Tinos" w:ascii="Tinos" w:hAnsi="Tinos"/>
          <w:bCs/>
          <w:color w:val="000000"/>
          <w:szCs w:val="28"/>
        </w:rPr>
        <w:t>меры поддержки</w:t>
      </w:r>
      <w:r>
        <w:rPr>
          <w:rFonts w:cs="Tinos" w:ascii="Tinos" w:hAnsi="Tinos"/>
          <w:color w:val="000000"/>
          <w:szCs w:val="28"/>
        </w:rPr>
        <w:t>.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cs="Tinos" w:ascii="Tinos" w:hAnsi="Tinos"/>
          <w:color w:val="000000"/>
          <w:szCs w:val="28"/>
        </w:rPr>
        <w:t>После поступления сведений, указанных в предыдущем абзаце,          осуществляются следующие административные процедуры: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cs="Tinos" w:ascii="Tinos" w:hAnsi="Tinos"/>
          <w:color w:val="000000"/>
          <w:szCs w:val="28"/>
        </w:rPr>
        <w:t xml:space="preserve">1.  С целью подготовки перечня потенциальных получателей </w:t>
      </w:r>
      <w:r>
        <w:rPr>
          <w:rFonts w:cs="Tinos" w:ascii="Tinos" w:hAnsi="Tinos"/>
          <w:bCs/>
          <w:color w:val="000000"/>
          <w:szCs w:val="28"/>
        </w:rPr>
        <w:t>меры    поддержки</w:t>
      </w:r>
      <w:r>
        <w:rPr>
          <w:rFonts w:cs="Tinos" w:ascii="Tinos" w:hAnsi="Tinos"/>
          <w:color w:val="000000"/>
          <w:szCs w:val="28"/>
        </w:rPr>
        <w:t xml:space="preserve"> (далее – перечень) министерство образования Белгородской        области осуществляет межведомственное информационное взаимодействие;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cs="Tinos" w:ascii="Tinos" w:hAnsi="Tinos"/>
          <w:color w:val="000000"/>
          <w:szCs w:val="28"/>
        </w:rPr>
        <w:t xml:space="preserve">2. Министерство образования Белгородской области формирует        перечень для направления уведомлений о возможности получения </w:t>
      </w:r>
      <w:r>
        <w:rPr>
          <w:rFonts w:cs="Tinos" w:ascii="Tinos" w:hAnsi="Tinos"/>
          <w:bCs/>
          <w:color w:val="000000"/>
          <w:szCs w:val="28"/>
        </w:rPr>
        <w:t>меры     поддержки;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cs="Tinos" w:ascii="Tinos" w:hAnsi="Tinos"/>
          <w:color w:val="000000"/>
          <w:szCs w:val="28"/>
        </w:rPr>
        <w:t>3.  Министерство образования Белгородской области направляет       уведомления в личный кабинет заявителя на ЕПГУ о возможности получения меры поддержки;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cs="Tinos" w:ascii="Tinos" w:hAnsi="Tinos"/>
          <w:color w:val="000000"/>
          <w:szCs w:val="28"/>
        </w:rPr>
        <w:t xml:space="preserve">4. Организация, предоставляющая меру поддержки получает заявление на получение </w:t>
      </w:r>
      <w:r>
        <w:rPr>
          <w:rFonts w:cs="Tinos" w:ascii="Tinos" w:hAnsi="Tinos"/>
          <w:bCs/>
          <w:color w:val="000000"/>
          <w:szCs w:val="28"/>
        </w:rPr>
        <w:t>меры поддержки;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cs="Tinos" w:ascii="Tinos" w:hAnsi="Tinos"/>
          <w:color w:val="000000"/>
          <w:szCs w:val="28"/>
        </w:rPr>
        <w:t xml:space="preserve">5. Организация, предоставляющая меру поддержки, принимает            решение о предоставлении/об отказе в предоставлении </w:t>
      </w:r>
      <w:r>
        <w:rPr>
          <w:rFonts w:cs="Tinos" w:ascii="Tinos" w:hAnsi="Tinos"/>
          <w:bCs/>
          <w:color w:val="000000"/>
          <w:szCs w:val="28"/>
        </w:rPr>
        <w:t>меры поддержки          в соответствии с подпунктом 3.15 пункта 3 Порядка</w:t>
      </w:r>
      <w:r>
        <w:rPr>
          <w:rFonts w:cs="Tinos" w:ascii="Tinos" w:hAnsi="Tinos"/>
          <w:color w:val="000000"/>
          <w:szCs w:val="28"/>
        </w:rPr>
        <w:t>;</w:t>
      </w:r>
    </w:p>
    <w:p>
      <w:pPr>
        <w:pStyle w:val="Normal"/>
        <w:tabs>
          <w:tab w:val="clear" w:pos="720"/>
          <w:tab w:val="center" w:pos="5178" w:leader="none"/>
          <w:tab w:val="left" w:pos="8550" w:leader="none"/>
        </w:tabs>
        <w:ind w:firstLine="709"/>
        <w:jc w:val="both"/>
        <w:rPr>
          <w:rFonts w:ascii="Tinos" w:hAnsi="Tinos"/>
          <w:szCs w:val="28"/>
        </w:rPr>
      </w:pPr>
      <w:r>
        <w:rPr>
          <w:rFonts w:cs="Tinos" w:ascii="Tinos" w:hAnsi="Tinos"/>
          <w:color w:val="000000"/>
          <w:szCs w:val="28"/>
        </w:rPr>
        <w:t xml:space="preserve">6. Организация, предоставляющая меру поддержки предоставляет       результат </w:t>
      </w:r>
      <w:r>
        <w:rPr>
          <w:rFonts w:cs="Tinos" w:ascii="Tinos" w:hAnsi="Tinos"/>
          <w:bCs/>
          <w:color w:val="000000"/>
          <w:szCs w:val="28"/>
        </w:rPr>
        <w:t>меры поддержки</w:t>
      </w:r>
      <w:r>
        <w:rPr>
          <w:rFonts w:cs="Tinos" w:ascii="Tinos" w:hAnsi="Tinos"/>
          <w:color w:val="000000"/>
          <w:szCs w:val="28"/>
        </w:rPr>
        <w:t>.</w:t>
      </w:r>
    </w:p>
    <w:p>
      <w:pPr>
        <w:pStyle w:val="212"/>
        <w:spacing w:lineRule="auto" w:line="240" w:before="0" w:after="0"/>
        <w:jc w:val="both"/>
        <w:rPr>
          <w:rFonts w:ascii="Tinos" w:hAnsi="Tinos"/>
        </w:rPr>
      </w:pPr>
      <w:r>
        <w:rPr>
          <w:rFonts w:cs="Tinos" w:ascii="Tinos" w:hAnsi="Tinos"/>
          <w:color w:val="000000"/>
          <w:shd w:fill="FFFFFF" w:val="clear"/>
        </w:rPr>
        <w:tab/>
      </w:r>
      <w:r>
        <w:rPr>
          <w:rFonts w:cs="Tinos" w:ascii="Tinos" w:hAnsi="Tinos"/>
        </w:rPr>
        <w:t>Документы и сведения, указанные в подпунктах 3), 4), 5) подпункта 3.6   пункта 3 Порядка и находящиеся в распоряжении органов, предоставляющих государственные и муниципальные  услуги, федеральных органов                 исполнительной власти, иных государственных органов, органов местного самоуправления, либо подведомственных государственным органам            или органам местного самоуправления организаций, запрашиваются             организацией, предоставляющей меру поддержки, в порядке                       межведомственного</w:t>
      </w:r>
      <w:r>
        <w:rPr>
          <w:rFonts w:cs="Tinos" w:ascii="Tinos" w:hAnsi="Tinos"/>
          <w:color w:val="FF0000"/>
        </w:rPr>
        <w:t xml:space="preserve"> </w:t>
      </w:r>
      <w:r>
        <w:rPr>
          <w:rFonts w:cs="Tinos" w:ascii="Tinos" w:hAnsi="Tinos"/>
        </w:rPr>
        <w:t>взаимодействия, если такие документы и сведения          не были представлены заявителями самостоятельно.</w:t>
      </w:r>
    </w:p>
    <w:p>
      <w:pPr>
        <w:pStyle w:val="Normal"/>
        <w:ind w:firstLine="601"/>
        <w:jc w:val="both"/>
        <w:rPr>
          <w:rFonts w:ascii="Tinos" w:hAnsi="Tinos"/>
          <w:szCs w:val="28"/>
        </w:rPr>
      </w:pPr>
      <w:r>
        <w:rPr>
          <w:rFonts w:cs="Calibri" w:ascii="Tinos" w:hAnsi="Tinos"/>
          <w:color w:val="000000"/>
          <w:szCs w:val="28"/>
          <w:shd w:fill="FFFFFF" w:val="clear"/>
        </w:rPr>
        <w:t xml:space="preserve">Документы и сведения, указанные в подпунктах 3),4),5) подпункта 3.6 пункта 3 Порядка </w:t>
      </w:r>
      <w:r>
        <w:rPr>
          <w:rFonts w:cs="'Times New Roman'" w:ascii="Tinos" w:hAnsi="Tinos"/>
          <w:color w:val="000000"/>
          <w:szCs w:val="28"/>
          <w:shd w:fill="FFFFFF" w:val="clear"/>
        </w:rPr>
        <w:t>заявитель вправе представить самостоятельно.</w:t>
      </w:r>
    </w:p>
    <w:p>
      <w:pPr>
        <w:pStyle w:val="212"/>
        <w:shd w:val="clear" w:color="auto" w:fill="auto"/>
        <w:spacing w:lineRule="auto" w:line="240" w:before="0" w:after="0"/>
        <w:ind w:firstLine="601"/>
        <w:jc w:val="both"/>
        <w:rPr>
          <w:rFonts w:ascii="Tinos" w:hAnsi="Tinos"/>
        </w:rPr>
      </w:pPr>
      <w:r>
        <w:rPr>
          <w:rFonts w:cs="Tinos" w:ascii="Tinos" w:hAnsi="Tinos"/>
        </w:rPr>
        <w:t>При отсутствии технической возможности доступа к системам           межведомственного взаимодействия предоставление документов и сведений, указанных в подпунктах 3), 4), 5) подпункта 3.6 раздела 3 Порядка, возлагается на заявителя.».</w:t>
      </w:r>
    </w:p>
    <w:p>
      <w:pPr>
        <w:pStyle w:val="Normal"/>
        <w:spacing w:before="57" w:after="57"/>
        <w:jc w:val="both"/>
        <w:rPr/>
      </w:pPr>
      <w:r>
        <w:rPr>
          <w:rFonts w:cs="Tinos" w:ascii="Tinos" w:hAnsi="Tinos"/>
          <w:bCs/>
          <w:color w:val="000000"/>
          <w:szCs w:val="28"/>
        </w:rPr>
        <w:tab/>
        <w:t>- дополнить пункт 3 Порядка подпунктом 3.15 следующего                         содержания:</w:t>
      </w:r>
    </w:p>
    <w:p>
      <w:pPr>
        <w:pStyle w:val="Normal"/>
        <w:spacing w:before="57" w:after="57"/>
        <w:ind w:firstLine="709"/>
        <w:jc w:val="both"/>
        <w:rPr>
          <w:rFonts w:ascii="Tinos" w:hAnsi="Tinos"/>
          <w:szCs w:val="28"/>
        </w:rPr>
      </w:pPr>
      <w:r>
        <w:rPr>
          <w:rFonts w:eastAsia="Calibri" w:cs="Tinos" w:ascii="Tinos" w:hAnsi="Tinos"/>
          <w:color w:val="000000"/>
          <w:szCs w:val="28"/>
        </w:rPr>
        <w:t xml:space="preserve">«Основанием для отказа в предоставлении меры поддержки являются: </w:t>
      </w:r>
    </w:p>
    <w:p>
      <w:pPr>
        <w:pStyle w:val="Normal"/>
        <w:ind w:firstLine="601"/>
        <w:jc w:val="both"/>
        <w:rPr>
          <w:rFonts w:ascii="Tinos" w:hAnsi="Tinos"/>
          <w:szCs w:val="28"/>
        </w:rPr>
      </w:pPr>
      <w:r>
        <w:rPr>
          <w:rFonts w:eastAsia="Tinos" w:cs="Tinos" w:ascii="Tinos" w:hAnsi="Tinos"/>
          <w:color w:val="000000"/>
          <w:szCs w:val="28"/>
        </w:rPr>
        <w:t xml:space="preserve">- </w:t>
      </w:r>
      <w:r>
        <w:rPr>
          <w:rFonts w:eastAsia="Calibri" w:cs="Tinos" w:ascii="Tinos" w:hAnsi="Tinos"/>
          <w:color w:val="000000"/>
          <w:szCs w:val="28"/>
        </w:rPr>
        <w:t>представление заявителем недостоверных сведений;</w:t>
      </w:r>
    </w:p>
    <w:p>
      <w:pPr>
        <w:pStyle w:val="Normal"/>
        <w:ind w:firstLine="601"/>
        <w:jc w:val="both"/>
        <w:rPr>
          <w:rFonts w:ascii="Tinos" w:hAnsi="Tinos"/>
          <w:szCs w:val="28"/>
        </w:rPr>
      </w:pPr>
      <w:r>
        <w:rPr>
          <w:rFonts w:eastAsia="Tinos" w:cs="Tinos" w:ascii="Tinos" w:hAnsi="Tinos"/>
          <w:color w:val="000000"/>
          <w:szCs w:val="28"/>
        </w:rPr>
        <w:t>- н</w:t>
      </w:r>
      <w:r>
        <w:rPr>
          <w:rFonts w:eastAsia="Times New Roman" w:cs="Tinos" w:ascii="Tinos" w:hAnsi="Tinos"/>
          <w:color w:val="000000"/>
          <w:szCs w:val="28"/>
        </w:rPr>
        <w:t>епредставление, либо представление не в полном объеме документов, предусмотренных подпунктами 2), 6) подпункта 3.6 пункта 3 Порядка;</w:t>
      </w:r>
    </w:p>
    <w:p>
      <w:pPr>
        <w:pStyle w:val="Normal"/>
        <w:ind w:firstLine="601"/>
        <w:jc w:val="both"/>
        <w:rPr>
          <w:rFonts w:ascii="Tinos" w:hAnsi="Tinos"/>
          <w:szCs w:val="28"/>
        </w:rPr>
      </w:pPr>
      <w:r>
        <w:rPr>
          <w:rFonts w:eastAsia="Tinos" w:cs="Tinos" w:ascii="Tinos" w:hAnsi="Tinos"/>
          <w:color w:val="000000"/>
          <w:szCs w:val="28"/>
        </w:rPr>
        <w:t>-  н</w:t>
      </w:r>
      <w:r>
        <w:rPr>
          <w:rFonts w:eastAsia="Times New Roman" w:cs="Tinos" w:ascii="Tinos" w:hAnsi="Tinos"/>
          <w:color w:val="000000"/>
          <w:szCs w:val="28"/>
        </w:rPr>
        <w:t xml:space="preserve">епредоставление документов и сведений, указанных в подпунктах     3), 4), 5) подпункта 3.6 пункта 3 Порядка при отсутствии их в системе                 межведомственного взаимодействия; </w:t>
      </w:r>
    </w:p>
    <w:p>
      <w:pPr>
        <w:pStyle w:val="Normal"/>
        <w:ind w:firstLine="601"/>
        <w:jc w:val="both"/>
        <w:rPr>
          <w:rFonts w:ascii="Tinos" w:hAnsi="Tinos"/>
          <w:szCs w:val="28"/>
        </w:rPr>
      </w:pPr>
      <w:r>
        <w:rPr>
          <w:rFonts w:eastAsia="Tinos" w:cs="Tinos" w:ascii="Tinos" w:hAnsi="Tinos"/>
          <w:color w:val="000000"/>
          <w:szCs w:val="28"/>
        </w:rPr>
        <w:t xml:space="preserve">- </w:t>
      </w:r>
      <w:r>
        <w:rPr>
          <w:rFonts w:eastAsia="Calibri" w:cs="Tinos" w:ascii="Tinos" w:hAnsi="Tinos"/>
          <w:color w:val="000000"/>
          <w:szCs w:val="28"/>
        </w:rPr>
        <w:t>отсутствие статуса участника СВО, указанного в подпункте 2.1 пункта</w:t>
      </w:r>
      <w:bookmarkStart w:id="0" w:name="_GoBack"/>
      <w:bookmarkEnd w:id="0"/>
      <w:r>
        <w:rPr>
          <w:rFonts w:eastAsia="Calibri" w:cs="Tinos" w:ascii="Tinos" w:hAnsi="Tinos"/>
          <w:color w:val="000000"/>
          <w:szCs w:val="28"/>
        </w:rPr>
        <w:t xml:space="preserve"> 2 Порядка.».</w:t>
      </w:r>
    </w:p>
    <w:p>
      <w:pPr>
        <w:pStyle w:val="ConsPlusTitle"/>
        <w:ind w:firstLine="851"/>
        <w:jc w:val="both"/>
        <w:rPr>
          <w:rFonts w:ascii="Tinos" w:hAnsi="Tinos"/>
          <w:sz w:val="28"/>
          <w:szCs w:val="28"/>
        </w:rPr>
      </w:pPr>
      <w:r>
        <w:rPr>
          <w:rFonts w:eastAsia="Calibri" w:cs="Tinos" w:ascii="Tinos" w:hAnsi="Tinos"/>
          <w:b w:val="false"/>
          <w:sz w:val="28"/>
          <w:szCs w:val="28"/>
        </w:rPr>
        <w:t>- изложить Приложение № 1 к Порядку в редакции согласно приложению к настоящему постановлению.</w:t>
      </w:r>
    </w:p>
    <w:p>
      <w:pPr>
        <w:pStyle w:val="Normal"/>
        <w:shd w:val="clear" w:color="auto" w:fill="FFFFFF"/>
        <w:ind w:firstLine="851"/>
        <w:jc w:val="both"/>
        <w:rPr>
          <w:rFonts w:ascii="Tinos" w:hAnsi="Tinos"/>
          <w:szCs w:val="28"/>
        </w:rPr>
      </w:pPr>
      <w:r>
        <w:rPr>
          <w:rFonts w:cs="Tinos" w:ascii="Tinos" w:hAnsi="Tinos"/>
          <w:bCs/>
          <w:color w:val="000000"/>
          <w:szCs w:val="28"/>
        </w:rPr>
        <w:t xml:space="preserve">2. </w:t>
      </w:r>
      <w:r>
        <w:rPr>
          <w:rFonts w:cs="Tinos" w:ascii="Tinos" w:hAnsi="Tinos"/>
          <w:bCs/>
          <w:szCs w:val="28"/>
        </w:rPr>
        <w:t>Опубликовать настоящее постановление в газете «Валуйская       звезда» и сетевом издании «Валуйская звезда» (val-zvezda31.ru) в течение     десяти календарных дней со дня его принятия.</w:t>
      </w:r>
    </w:p>
    <w:p>
      <w:pPr>
        <w:pStyle w:val="Normal"/>
        <w:shd w:val="clear" w:color="auto" w:fill="FFFFFF"/>
        <w:ind w:firstLine="851"/>
        <w:jc w:val="both"/>
        <w:rPr>
          <w:rFonts w:ascii="Tinos" w:hAnsi="Tinos"/>
          <w:szCs w:val="28"/>
        </w:rPr>
      </w:pPr>
      <w:r>
        <w:rPr>
          <w:rFonts w:cs="Tinos" w:ascii="Tinos" w:hAnsi="Tinos"/>
          <w:bCs/>
          <w:szCs w:val="28"/>
        </w:rPr>
        <w:t xml:space="preserve">3. </w:t>
      </w:r>
      <w:r>
        <w:rPr>
          <w:rFonts w:cs="Tinos" w:ascii="Tinos" w:hAnsi="Tinos"/>
          <w:szCs w:val="28"/>
        </w:rPr>
        <w:t>Управлению образования администрации Валуйского                     муниципального округа (Жукова С.И.):</w:t>
      </w:r>
    </w:p>
    <w:p>
      <w:pPr>
        <w:pStyle w:val="Normal"/>
        <w:tabs>
          <w:tab w:val="clear" w:pos="720"/>
          <w:tab w:val="left" w:pos="709" w:leader="none"/>
        </w:tabs>
        <w:jc w:val="both"/>
        <w:rPr>
          <w:rFonts w:ascii="Tinos" w:hAnsi="Tinos"/>
          <w:szCs w:val="28"/>
        </w:rPr>
      </w:pPr>
      <w:r>
        <w:rPr>
          <w:rFonts w:cs="Tinos" w:ascii="Tinos" w:hAnsi="Tinos"/>
          <w:szCs w:val="28"/>
        </w:rPr>
        <w:tab/>
        <w:t>- направить настоящее постановление в течение одного рабочего                      дня со дня его принятия в редакцию газеты «Валуйская звезда»                             для опубликования;</w:t>
      </w:r>
    </w:p>
    <w:p>
      <w:pPr>
        <w:pStyle w:val="Normal"/>
        <w:shd w:val="clear" w:color="auto" w:fill="FFFFFF"/>
        <w:jc w:val="both"/>
        <w:rPr>
          <w:rFonts w:ascii="Tinos" w:hAnsi="Tinos"/>
          <w:szCs w:val="28"/>
        </w:rPr>
      </w:pPr>
      <w:r>
        <w:rPr>
          <w:rFonts w:cs="Tinos" w:ascii="Tinos" w:hAnsi="Tinos"/>
          <w:bCs/>
          <w:szCs w:val="28"/>
        </w:rPr>
        <w:tab/>
        <w:t xml:space="preserve">- предоставить в течение одного рабочего дня со дня официального опубликования настоящего постановления в газете «Валуйская звезда»                  в отдел делопроизводства организационно-контрольного управления       администрации Валуйского муниципального округа (Волобуева Н.А.)         сведения об опубликовании настоящего постановления, содержащие            название, номер и дату выпуска газеты «Валуйская звезда», номер страницы выпуска, с которой начинается текст настоящего постановления.     </w:t>
      </w:r>
    </w:p>
    <w:p>
      <w:pPr>
        <w:pStyle w:val="Normal"/>
        <w:shd w:val="clear" w:color="auto" w:fill="FFFFFF"/>
        <w:ind w:firstLine="851"/>
        <w:jc w:val="both"/>
        <w:rPr>
          <w:rFonts w:ascii="Tinos" w:hAnsi="Tinos"/>
          <w:szCs w:val="28"/>
        </w:rPr>
      </w:pPr>
      <w:r>
        <w:rPr>
          <w:rFonts w:cs="Tinos" w:ascii="Tinos" w:hAnsi="Tinos"/>
          <w:bCs/>
          <w:color w:val="000000"/>
          <w:szCs w:val="28"/>
        </w:rPr>
        <w:t>4</w:t>
      </w:r>
      <w:r>
        <w:rPr>
          <w:rFonts w:cs="Tinos" w:ascii="Tinos" w:hAnsi="Tinos"/>
          <w:color w:val="000000"/>
          <w:szCs w:val="28"/>
        </w:rPr>
        <w:t>. На</w:t>
      </w:r>
      <w:r>
        <w:rPr>
          <w:rFonts w:cs="Tinos" w:ascii="Tinos" w:hAnsi="Tinos"/>
          <w:szCs w:val="28"/>
        </w:rPr>
        <w:t>стоящее постановление вступает в силу со дня его официального опубликования.</w:t>
      </w:r>
    </w:p>
    <w:p>
      <w:pPr>
        <w:pStyle w:val="NormalWeb"/>
        <w:spacing w:before="0" w:after="0"/>
        <w:ind w:firstLine="851"/>
        <w:jc w:val="both"/>
        <w:rPr>
          <w:rFonts w:ascii="Tinos" w:hAnsi="Tinos"/>
          <w:sz w:val="28"/>
          <w:szCs w:val="28"/>
        </w:rPr>
      </w:pPr>
      <w:r>
        <w:rPr>
          <w:rFonts w:cs="Tinos" w:ascii="Tinos" w:hAnsi="Tinos"/>
          <w:bCs/>
          <w:sz w:val="28"/>
          <w:szCs w:val="28"/>
        </w:rPr>
        <w:t xml:space="preserve">5. </w:t>
      </w:r>
      <w:r>
        <w:rPr>
          <w:rFonts w:cs="Tinos" w:ascii="Tinos" w:hAnsi="Tinos"/>
          <w:sz w:val="28"/>
          <w:szCs w:val="28"/>
        </w:rPr>
        <w:t xml:space="preserve">Контроль за исполнением настоящего постановления возложить     </w:t>
      </w:r>
      <w:r>
        <w:rPr>
          <w:rFonts w:cs="Tinos" w:ascii="Tinos" w:hAnsi="Tinos"/>
          <w:bCs/>
          <w:sz w:val="28"/>
          <w:szCs w:val="28"/>
        </w:rPr>
        <w:t>на заместителя</w:t>
      </w:r>
      <w:r>
        <w:rPr>
          <w:rFonts w:cs="Tinos" w:ascii="Tinos" w:hAnsi="Tinos"/>
          <w:bCs/>
          <w:color w:val="000000"/>
          <w:sz w:val="28"/>
          <w:szCs w:val="28"/>
        </w:rPr>
        <w:t xml:space="preserve"> главы администрации Валуйского муниципального округа     по социальным вопросам Дуброву И.В.</w:t>
      </w:r>
    </w:p>
    <w:p>
      <w:pPr>
        <w:pStyle w:val="NormalWeb"/>
        <w:spacing w:lineRule="auto" w:line="276" w:before="0" w:after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Web"/>
        <w:spacing w:lineRule="auto" w:line="276" w:before="0" w:after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Web"/>
        <w:spacing w:lineRule="auto" w:line="276" w:before="0" w:after="0"/>
        <w:jc w:val="both"/>
        <w:rPr>
          <w:b/>
          <w:color w:val="000000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>Глава администрации</w:t>
      </w:r>
    </w:p>
    <w:p>
      <w:pPr>
        <w:pStyle w:val="Normal"/>
        <w:spacing w:lineRule="auto" w:line="276"/>
        <w:rPr>
          <w:rFonts w:eastAsia="Times New Roman"/>
          <w:color w:val="000000"/>
          <w:szCs w:val="28"/>
        </w:rPr>
      </w:pPr>
      <w:r>
        <w:rPr>
          <w:b/>
          <w:color w:val="000000"/>
          <w:szCs w:val="28"/>
        </w:rPr>
        <w:t>Валуйского муниципального округа                                              А.И. Дыбов</w:t>
      </w:r>
    </w:p>
    <w:p>
      <w:pPr>
        <w:pStyle w:val="Heading2"/>
        <w:keepNext w:val="false"/>
        <w:numPr>
          <w:ilvl w:val="1"/>
          <w:numId w:val="1"/>
        </w:numPr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2"/>
        <w:numPr>
          <w:ilvl w:val="1"/>
          <w:numId w:val="1"/>
        </w:numPr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2"/>
        <w:numPr>
          <w:ilvl w:val="0"/>
          <w:numId w:val="0"/>
        </w:numPr>
        <w:shd w:val="clear" w:color="auto" w:fill="FFFFFF"/>
        <w:spacing w:before="0" w:after="210"/>
        <w:ind w:hanging="0" w:left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spacing w:before="0" w:after="21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2"/>
        <w:numPr>
          <w:ilvl w:val="0"/>
          <w:numId w:val="0"/>
        </w:numPr>
        <w:shd w:val="clear" w:color="auto" w:fill="FFFFFF"/>
        <w:spacing w:before="0" w:after="210"/>
        <w:ind w:hanging="0" w:left="0"/>
        <w:jc w:val="right"/>
        <w:rPr>
          <w:sz w:val="26"/>
          <w:szCs w:val="26"/>
        </w:rPr>
      </w:pPr>
      <w:r>
        <w:rPr>
          <w:rFonts w:eastAsia="Times New Roman"/>
          <w:b w:val="false"/>
          <w:color w:val="000000"/>
          <w:szCs w:val="28"/>
        </w:rPr>
        <w:t xml:space="preserve">                                                         </w:t>
      </w:r>
      <w:r>
        <w:rPr>
          <w:rFonts w:eastAsia="Times New Roman"/>
          <w:color w:val="000000"/>
          <w:szCs w:val="28"/>
        </w:rPr>
        <w:t>Приложение №1</w:t>
      </w:r>
    </w:p>
    <w:p>
      <w:pPr>
        <w:pStyle w:val="Normal"/>
        <w:spacing w:lineRule="atLeast" w:line="240" w:before="280" w:after="280"/>
        <w:contextualSpacing/>
        <w:jc w:val="center"/>
        <w:rPr>
          <w:szCs w:val="28"/>
        </w:rPr>
      </w:pPr>
      <w:r>
        <w:rPr>
          <w:b/>
          <w:szCs w:val="28"/>
        </w:rPr>
        <w:t>Заявление</w:t>
      </w:r>
    </w:p>
    <w:p>
      <w:pPr>
        <w:pStyle w:val="Normal"/>
        <w:spacing w:lineRule="atLeast" w:line="240" w:before="280" w:after="280"/>
        <w:contextualSpacing/>
        <w:jc w:val="center"/>
        <w:rPr>
          <w:szCs w:val="28"/>
        </w:rPr>
      </w:pPr>
      <w:r>
        <w:rPr>
          <w:b/>
          <w:szCs w:val="28"/>
        </w:rPr>
        <w:t>о предоставлении бесплатного двухразового питания детям участников специальной военной операции (в том числе в случае гибели (смерти) участников специальной военной операции)</w:t>
      </w:r>
    </w:p>
    <w:tbl>
      <w:tblPr>
        <w:tblW w:w="974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3082"/>
        <w:gridCol w:w="6666"/>
      </w:tblGrid>
      <w:tr>
        <w:trPr/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Руководителю</w:t>
            </w:r>
          </w:p>
        </w:tc>
      </w:tr>
      <w:tr>
        <w:trPr/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pBdr>
                <w:top w:val="single" w:sz="4" w:space="1" w:color="000000"/>
              </w:pBdr>
              <w:spacing w:before="0" w:after="0"/>
              <w:contextualSpacing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(наименование общеобразовательной организации)</w:t>
            </w:r>
          </w:p>
        </w:tc>
      </w:tr>
      <w:tr>
        <w:trPr/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от</w:t>
            </w:r>
          </w:p>
        </w:tc>
      </w:tr>
      <w:tr>
        <w:trPr/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pBdr>
                <w:top w:val="single" w:sz="4" w:space="1" w:color="000000"/>
              </w:pBdr>
              <w:spacing w:before="0" w:after="280"/>
              <w:contextualSpacing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(фамилия, имя, отчество (полностью)</w:t>
            </w:r>
          </w:p>
          <w:p>
            <w:pPr>
              <w:pStyle w:val="Normal"/>
              <w:pBdr>
                <w:top w:val="single" w:sz="4" w:space="1" w:color="000000"/>
              </w:pBdr>
              <w:spacing w:before="280" w:after="0"/>
              <w:contextualSpacing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</w:tr>
      <w:tr>
        <w:trPr/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pBdr>
                <w:top w:val="single" w:sz="4" w:space="1" w:color="000000"/>
              </w:pBdr>
              <w:spacing w:before="0" w:after="0"/>
              <w:contextualSpacing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</w:tr>
      <w:tr>
        <w:trPr/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pBdr>
                <w:top w:val="single" w:sz="4" w:space="1" w:color="000000"/>
              </w:pBdr>
              <w:spacing w:before="0" w:after="28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родителя(законного представителя) обучающегося)</w:t>
            </w:r>
          </w:p>
          <w:p>
            <w:pPr>
              <w:pStyle w:val="Normal"/>
              <w:spacing w:before="280" w:after="0"/>
              <w:contextualSpacing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</w:tr>
      <w:tr>
        <w:trPr/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spacing w:before="0" w:after="28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проживающего по адресу:</w:t>
            </w:r>
          </w:p>
          <w:p>
            <w:pPr>
              <w:pStyle w:val="Normal"/>
              <w:spacing w:before="280" w:after="0"/>
              <w:contextualSpacing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</w:tr>
      <w:tr>
        <w:trPr>
          <w:trHeight w:val="410" w:hRule="atLeast"/>
        </w:trPr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pBdr>
                <w:top w:val="single" w:sz="4" w:space="1" w:color="000000"/>
              </w:pBdr>
              <w:spacing w:before="0" w:after="280"/>
              <w:contextualSpacing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(индекс, адрес)</w:t>
            </w:r>
          </w:p>
          <w:p>
            <w:pPr>
              <w:pStyle w:val="Normal"/>
              <w:pBdr>
                <w:top w:val="single" w:sz="4" w:space="1" w:color="000000"/>
              </w:pBdr>
              <w:spacing w:before="280" w:after="0"/>
              <w:contextualSpacing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</w:tr>
      <w:tr>
        <w:trPr/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pBdr>
                <w:top w:val="single" w:sz="4" w:space="1" w:color="000000"/>
              </w:pBdr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Паспорт: серия                                          №</w:t>
            </w:r>
          </w:p>
        </w:tc>
      </w:tr>
      <w:tr>
        <w:trPr/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pBdr>
                <w:top w:val="single" w:sz="4" w:space="1" w:color="000000"/>
              </w:pBdr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Дата выдачи:</w:t>
            </w:r>
          </w:p>
        </w:tc>
      </w:tr>
      <w:tr>
        <w:trPr/>
        <w:tc>
          <w:tcPr>
            <w:tcW w:w="3082" w:type="dxa"/>
            <w:tcBorders/>
          </w:tcPr>
          <w:p>
            <w:pPr>
              <w:pStyle w:val="Normal"/>
              <w:spacing w:before="0" w:after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</w:p>
        </w:tc>
        <w:tc>
          <w:tcPr>
            <w:tcW w:w="6666" w:type="dxa"/>
            <w:tcBorders/>
          </w:tcPr>
          <w:p>
            <w:pPr>
              <w:pStyle w:val="Normal"/>
              <w:pBdr>
                <w:top w:val="single" w:sz="4" w:space="1" w:color="000000"/>
              </w:pBdr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Кем выдан:</w:t>
            </w:r>
          </w:p>
        </w:tc>
      </w:tr>
    </w:tbl>
    <w:p>
      <w:pPr>
        <w:pStyle w:val="Normal"/>
        <w:tabs>
          <w:tab w:val="clear" w:pos="720"/>
          <w:tab w:val="left" w:pos="9444" w:leader="none"/>
          <w:tab w:val="right" w:pos="9923" w:leader="none"/>
        </w:tabs>
        <w:spacing w:lineRule="atLeast" w:line="240" w:before="280" w:after="28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Прошу предоставить в соответствии с Федерального законом  от 29 декабря 2012 года № 273-ФЗ «Об образовании в Российской Федерации» бесплатное                     двухразовое питание, включающее завтрак и обед.</w:t>
      </w:r>
    </w:p>
    <w:p>
      <w:pPr>
        <w:pStyle w:val="Normal"/>
        <w:tabs>
          <w:tab w:val="clear" w:pos="720"/>
          <w:tab w:val="left" w:pos="9638" w:leader="none"/>
        </w:tabs>
        <w:spacing w:lineRule="atLeast" w:line="240" w:before="280" w:after="280"/>
        <w:ind w:firstLine="68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pBdr>
          <w:top w:val="single" w:sz="4" w:space="1" w:color="000000"/>
        </w:pBdr>
        <w:tabs>
          <w:tab w:val="clear" w:pos="720"/>
          <w:tab w:val="center" w:pos="4819" w:leader="none"/>
          <w:tab w:val="right" w:pos="9639" w:leader="none"/>
        </w:tabs>
        <w:spacing w:lineRule="atLeast" w:line="240" w:before="280" w:after="280"/>
        <w:ind w:right="-1"/>
        <w:contextualSpacing/>
        <w:rPr>
          <w:sz w:val="26"/>
          <w:szCs w:val="26"/>
        </w:rPr>
      </w:pPr>
      <w:r>
        <w:rPr>
          <w:sz w:val="26"/>
          <w:szCs w:val="26"/>
        </w:rPr>
        <w:tab/>
        <w:t>(фамилия, имя, отчество)</w:t>
        <w:tab/>
      </w:r>
    </w:p>
    <w:tbl>
      <w:tblPr>
        <w:tblW w:w="97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9795"/>
      </w:tblGrid>
      <w:tr>
        <w:trPr>
          <w:trHeight w:val="424" w:hRule="atLeast"/>
        </w:trPr>
        <w:tc>
          <w:tcPr>
            <w:tcW w:w="9795" w:type="dxa"/>
            <w:tcBorders/>
          </w:tcPr>
          <w:p>
            <w:pPr>
              <w:pStyle w:val="Normal"/>
              <w:pBdr>
                <w:top w:val="single" w:sz="4" w:space="1" w:color="000000"/>
              </w:pBdr>
              <w:spacing w:lineRule="atLeast" w:line="240" w:before="0" w:after="280"/>
              <w:ind w:right="-25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обучающемуся ______ класса на период с ____________</w:t>
            </w:r>
          </w:p>
          <w:p>
            <w:pPr>
              <w:pStyle w:val="Normal"/>
              <w:pBdr>
                <w:top w:val="single" w:sz="4" w:space="1" w:color="000000"/>
              </w:pBdr>
              <w:spacing w:lineRule="atLeast" w:line="240" w:before="0" w:after="280"/>
              <w:ind w:right="-25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_____________________________</w:t>
            </w:r>
          </w:p>
          <w:p>
            <w:pPr>
              <w:pStyle w:val="Normal"/>
              <w:spacing w:lineRule="atLeast" w:line="240" w:before="280" w:after="0"/>
              <w:ind w:right="-108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рождения: ____________________ свидетельство о рождении /</w:t>
            </w:r>
          </w:p>
          <w:p>
            <w:pPr>
              <w:pStyle w:val="Normal"/>
              <w:spacing w:lineRule="atLeast" w:line="240" w:before="280" w:after="0"/>
              <w:ind w:right="-108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паспорт______________</w:t>
            </w:r>
          </w:p>
        </w:tc>
      </w:tr>
      <w:tr>
        <w:trPr>
          <w:trHeight w:val="68" w:hRule="atLeast"/>
        </w:trPr>
        <w:tc>
          <w:tcPr>
            <w:tcW w:w="9795" w:type="dxa"/>
            <w:tcBorders/>
          </w:tcPr>
          <w:p>
            <w:pPr>
              <w:pStyle w:val="Normal"/>
              <w:spacing w:lineRule="atLeast" w:line="240" w:before="0" w:after="280"/>
              <w:ind w:right="113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серия __________________ № ______________________, место регистрации       (проживания):</w:t>
            </w:r>
          </w:p>
          <w:p>
            <w:pPr>
              <w:pStyle w:val="Normal"/>
              <w:spacing w:lineRule="atLeast" w:line="240" w:before="280" w:after="0"/>
              <w:ind w:right="-108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__________________________________________________________________________</w:t>
            </w:r>
          </w:p>
        </w:tc>
      </w:tr>
      <w:tr>
        <w:trPr>
          <w:trHeight w:val="2231" w:hRule="atLeast"/>
        </w:trPr>
        <w:tc>
          <w:tcPr>
            <w:tcW w:w="9795" w:type="dxa"/>
            <w:tcBorders/>
          </w:tcPr>
          <w:p>
            <w:pPr>
              <w:pStyle w:val="Normal"/>
              <w:spacing w:lineRule="atLeast" w:line="240" w:before="0" w:after="28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связи с тем, что обучающийся относится к категории «дети участников специальной военной операции (в том числе в случае гибели (смерти) участников специальной военной операции)», обучение которого организовано муниципальной общеобразовательной организацией Валуйского муниципального округа.</w:t>
            </w:r>
          </w:p>
          <w:p>
            <w:pPr>
              <w:pStyle w:val="Normal"/>
              <w:spacing w:lineRule="atLeast" w:line="240" w:before="280" w:after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Родитель (законный представитель) обучающегося проинформирован, что в случае изменения обстоятельств, влияющих на получение бесплатного двухразового питания, обязуется в установленный срок письменно проинформировать общеобразовательную организацию.</w:t>
            </w:r>
          </w:p>
        </w:tc>
      </w:tr>
    </w:tbl>
    <w:p>
      <w:pPr>
        <w:pStyle w:val="Normal"/>
        <w:spacing w:lineRule="atLeast" w:line="240" w:before="280" w:after="28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pBdr>
          <w:top w:val="single" w:sz="4" w:space="1" w:color="000000"/>
        </w:pBdr>
        <w:spacing w:lineRule="atLeast" w:line="240" w:before="280" w:after="280"/>
        <w:ind w:left="5670" w:right="1134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(подпись)</w:t>
      </w:r>
    </w:p>
    <w:p>
      <w:pPr>
        <w:pStyle w:val="Normal"/>
        <w:pBdr>
          <w:top w:val="single" w:sz="4" w:space="1" w:color="000000"/>
        </w:pBdr>
        <w:spacing w:lineRule="atLeast" w:line="240" w:before="280" w:after="280"/>
        <w:ind w:left="5670" w:right="1134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(дата)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701" w:right="850" w:gutter="0" w:header="750" w:top="1306" w:footer="0" w:bottom="83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imSun">
    <w:altName w:val="宋体"/>
    <w:charset w:val="01"/>
    <w:family w:val="roman"/>
    <w:pitch w:val="default"/>
  </w:font>
  <w:font w:name="Arial">
    <w:charset w:val="01"/>
    <w:family w:val="swiss"/>
    <w:pitch w:val="default"/>
  </w:font>
  <w:font w:name="PT Astra Serif">
    <w:altName w:val="Times New Roman"/>
    <w:charset w:val="01"/>
    <w:family w:val="roman"/>
    <w:pitch w:val="default"/>
  </w:font>
  <w:font w:name="Tahoma">
    <w:charset w:val="01"/>
    <w:family w:val="swiss"/>
    <w:pitch w:val="default"/>
  </w:font>
  <w:font w:name="Calibri">
    <w:charset w:val="01"/>
    <w:family w:val="swiss"/>
    <w:pitch w:val="default"/>
  </w:font>
  <w:font w:name="Arial Narrow">
    <w:charset w:val="01"/>
    <w:family w:val="swiss"/>
    <w:pitch w:val="default"/>
  </w:font>
  <w:font w:name="Tinos">
    <w:altName w:val="Times New Roman"/>
    <w:charset w:val="01"/>
    <w:family w:val="swiss"/>
    <w:pitch w:val="default"/>
  </w:font>
  <w:font w:name="Tinos">
    <w:altName w:val="Times New Roman"/>
    <w:charset w:val="01"/>
    <w:family w:val="roman"/>
    <w:pitch w:val="default"/>
  </w:font>
  <w:font w:name="Tinos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66370" cy="192405"/>
              <wp:effectExtent l="0" t="635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320" cy="192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12240" rIns="12240" tIns="12240" bIns="1224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227.3pt;margin-top:0.05pt;width:13.05pt;height:15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isLgl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isLgl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isLgl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isLgl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isLgl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isLgl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isLgl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isLgl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0"/>
      <w:sz w:val="28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b/>
    </w:rPr>
  </w:style>
  <w:style w:type="paragraph" w:styleId="Heading3">
    <w:name w:val="heading 3"/>
    <w:next w:val="Normal"/>
    <w:qFormat/>
    <w:pPr>
      <w:widowControl/>
      <w:numPr>
        <w:ilvl w:val="2"/>
        <w:numId w:val="1"/>
      </w:numPr>
      <w:suppressAutoHyphens w:val="true"/>
      <w:bidi w:val="0"/>
      <w:spacing w:before="280" w:after="280"/>
      <w:jc w:val="left"/>
      <w:outlineLvl w:val="2"/>
    </w:pPr>
    <w:rPr>
      <w:rFonts w:ascii="SimSun;宋体" w:hAnsi="SimSun;宋体" w:eastAsia="SimSun;宋体" w:cs="SimSun;宋体"/>
      <w:b/>
      <w:bCs/>
      <w:color w:val="auto"/>
      <w:kern w:val="0"/>
      <w:sz w:val="26"/>
      <w:szCs w:val="26"/>
      <w:lang w:val="en-US" w:eastAsia="zh-CN" w:bidi="ar-SA"/>
    </w:rPr>
  </w:style>
  <w:style w:type="paragraph" w:styleId="Heading4">
    <w:name w:val="heading 4"/>
    <w:next w:val="Normal"/>
    <w:qFormat/>
    <w:pPr>
      <w:widowControl/>
      <w:numPr>
        <w:ilvl w:val="3"/>
        <w:numId w:val="1"/>
      </w:numPr>
      <w:suppressAutoHyphens w:val="true"/>
      <w:bidi w:val="0"/>
      <w:spacing w:before="280" w:after="280"/>
      <w:jc w:val="left"/>
      <w:outlineLvl w:val="3"/>
    </w:pPr>
    <w:rPr>
      <w:rFonts w:ascii="SimSun;宋体" w:hAnsi="SimSun;宋体" w:eastAsia="SimSun;宋体" w:cs="SimSun;宋体"/>
      <w:b/>
      <w:bCs/>
      <w:color w:val="auto"/>
      <w:kern w:val="0"/>
      <w:sz w:val="24"/>
      <w:szCs w:val="24"/>
      <w:lang w:val="en-US" w:eastAsia="zh-CN" w:bidi="ar-SA"/>
    </w:rPr>
  </w:style>
  <w:style w:type="paragraph" w:styleId="Heading5">
    <w:name w:val="heading 5"/>
    <w:basedOn w:val="Normal"/>
    <w:next w:val="Normal"/>
    <w:link w:val="5"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qFormat/>
    <w:rPr>
      <w:sz w:val="48"/>
      <w:szCs w:val="48"/>
    </w:rPr>
  </w:style>
  <w:style w:type="character" w:styleId="Style6" w:customStyle="1">
    <w:name w:val="Подзаголовок Знак"/>
    <w:qFormat/>
    <w:rPr>
      <w:sz w:val="24"/>
      <w:szCs w:val="24"/>
    </w:rPr>
  </w:style>
  <w:style w:type="character" w:styleId="2" w:customStyle="1">
    <w:name w:val="Цитата 2 Знак"/>
    <w:link w:val="Quote"/>
    <w:qFormat/>
    <w:rPr>
      <w:i/>
    </w:rPr>
  </w:style>
  <w:style w:type="character" w:styleId="Style7" w:customStyle="1">
    <w:name w:val="Выделенная цитата Знак"/>
    <w:link w:val="IntenseQuote"/>
    <w:qFormat/>
    <w:rPr>
      <w:i/>
    </w:rPr>
  </w:style>
  <w:style w:type="character" w:styleId="HeaderChar" w:customStyle="1">
    <w:name w:val="Header Char"/>
    <w:qFormat/>
    <w:rPr/>
  </w:style>
  <w:style w:type="character" w:styleId="FooterChar" w:customStyle="1">
    <w:name w:val="Footer Char"/>
    <w:qFormat/>
    <w:rPr/>
  </w:style>
  <w:style w:type="character" w:styleId="CaptionChar" w:customStyle="1">
    <w:name w:val="Caption Char"/>
    <w:qFormat/>
    <w:rPr>
      <w:b/>
      <w:bCs/>
      <w:color w:themeColor="accent1" w:val="18A303"/>
      <w:sz w:val="18"/>
      <w:szCs w:val="18"/>
    </w:rPr>
  </w:style>
  <w:style w:type="character" w:styleId="Style8" w:customStyle="1">
    <w:name w:val="Текст сноски Знак"/>
    <w:qFormat/>
    <w:rPr>
      <w:sz w:val="18"/>
    </w:rPr>
  </w:style>
  <w:style w:type="character" w:styleId="Style9" w:customStyle="1">
    <w:name w:val="Символ сноски"/>
    <w:qFormat/>
    <w:rPr>
      <w:vertAlign w:val="superscript"/>
    </w:rPr>
  </w:style>
  <w:style w:type="character" w:styleId="user" w:customStyle="1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концевой сноски Знак"/>
    <w:qFormat/>
    <w:rPr>
      <w:sz w:val="20"/>
    </w:rPr>
  </w:style>
  <w:style w:type="character" w:styleId="Style11" w:customStyle="1">
    <w:name w:val="Символ концевой сноски"/>
    <w:qFormat/>
    <w:rPr>
      <w:vertAlign w:val="superscript"/>
    </w:rPr>
  </w:style>
  <w:style w:type="character" w:styleId="user1" w:customStyle="1">
    <w:name w:val="Символ концевой сноски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1" w:customStyle="1">
    <w:name w:val="Основной шрифт абзаца2"/>
    <w:qFormat/>
    <w:rPr/>
  </w:style>
  <w:style w:type="character" w:styleId="WW8Num2z0" w:customStyle="1">
    <w:name w:val="WW8Num2z0"/>
    <w:qFormat/>
    <w:rPr/>
  </w:style>
  <w:style w:type="character" w:styleId="WW8Num1z0" w:customStyle="1">
    <w:name w:val="WW8Num1z0"/>
    <w:qFormat/>
    <w:rPr/>
  </w:style>
  <w:style w:type="character" w:styleId="1" w:customStyle="1">
    <w:name w:val="Основной шрифт абзаца1"/>
    <w:qFormat/>
    <w:rPr/>
  </w:style>
  <w:style w:type="character" w:styleId="11" w:customStyle="1">
    <w:name w:val="Знак примечания1"/>
    <w:qFormat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rPr/>
  </w:style>
  <w:style w:type="character" w:styleId="Style12" w:customStyle="1">
    <w:name w:val="Текст примечания Знак"/>
    <w:qFormat/>
    <w:rPr/>
  </w:style>
  <w:style w:type="character" w:styleId="Style13" w:customStyle="1">
    <w:name w:val="Тема примечания Знак"/>
    <w:qFormat/>
    <w:rPr>
      <w:b/>
      <w:bCs/>
    </w:rPr>
  </w:style>
  <w:style w:type="character" w:styleId="Style14" w:customStyle="1">
    <w:name w:val="Верхний колонтитул Знак"/>
    <w:qFormat/>
    <w:rPr>
      <w:sz w:val="28"/>
    </w:rPr>
  </w:style>
  <w:style w:type="character" w:styleId="Style15" w:customStyle="1">
    <w:name w:val="Основной текст Знак"/>
    <w:qFormat/>
    <w:rPr>
      <w:sz w:val="28"/>
    </w:rPr>
  </w:style>
  <w:style w:type="character" w:styleId="3" w:customStyle="1">
    <w:name w:val="Основной текст 3 Знак"/>
    <w:qFormat/>
    <w:rPr>
      <w:sz w:val="16"/>
      <w:szCs w:val="16"/>
    </w:rPr>
  </w:style>
  <w:style w:type="paragraph" w:styleId="Style16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Cs w:val="28"/>
    </w:rPr>
  </w:style>
  <w:style w:type="paragraph" w:styleId="BodyText">
    <w:name w:val="Body Text"/>
    <w:basedOn w:val="Normal"/>
    <w:pPr>
      <w:jc w:val="both"/>
    </w:pPr>
    <w:rPr/>
  </w:style>
  <w:style w:type="paragraph" w:styleId="List">
    <w:name w:val="List"/>
    <w:basedOn w:val="BodyText"/>
    <w:pPr/>
    <w:rPr>
      <w:rFonts w:ascii="PT Astra Serif;Times New Roman" w:hAnsi="PT Astra Serif;Times New Roman" w:cs="Noto Sans Devanagari;Vrind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Style17" w:customStyle="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2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PT Astra Serif;Times New Roman" w:hAnsi="PT Astra Serif;Times New Roman" w:eastAsia="Tahoma" w:cs="Noto Sans Devanagari;Vrinda"/>
      <w:szCs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ascii="PT Astra Serif;Times New Roman" w:hAnsi="PT Astra Serif;Times New Roman" w:cs="Noto Sans Devanagari;Vrinda"/>
    </w:rPr>
  </w:style>
  <w:style w:type="paragraph" w:styleId="Title">
    <w:name w:val="Title"/>
    <w:basedOn w:val="Normal"/>
    <w:next w:val="BodyText"/>
    <w:link w:val="Style5"/>
    <w:qFormat/>
    <w:pPr>
      <w:spacing w:before="300" w:after="200"/>
      <w:contextualSpacing/>
    </w:pPr>
    <w:rPr>
      <w:sz w:val="48"/>
      <w:szCs w:val="48"/>
    </w:rPr>
  </w:style>
  <w:style w:type="paragraph" w:styleId="IndexHeading">
    <w:name w:val="index heading"/>
    <w:basedOn w:val="Title"/>
    <w:pPr/>
    <w:rPr/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Subtitle">
    <w:name w:val="Subtitle"/>
    <w:basedOn w:val="Normal"/>
    <w:next w:val="Normal"/>
    <w:link w:val="Style6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FootnoteText">
    <w:name w:val="footnote text"/>
    <w:basedOn w:val="Normal"/>
    <w:link w:val="Style8"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10"/>
    <w:pPr/>
    <w:rPr>
      <w:sz w:val="20"/>
    </w:rPr>
  </w:style>
  <w:style w:type="paragraph" w:styleId="TOC1">
    <w:name w:val="toc 1"/>
    <w:basedOn w:val="Normal"/>
    <w:next w:val="Normal"/>
    <w:pPr>
      <w:spacing w:before="0" w:after="57"/>
    </w:pPr>
    <w:rPr/>
  </w:style>
  <w:style w:type="paragraph" w:styleId="TOC2">
    <w:name w:val="toc 2"/>
    <w:basedOn w:val="Normal"/>
    <w:next w:val="Normal"/>
    <w:pPr>
      <w:spacing w:before="0" w:after="57"/>
      <w:ind w:left="283"/>
    </w:pPr>
    <w:rPr/>
  </w:style>
  <w:style w:type="paragraph" w:styleId="TOC3">
    <w:name w:val="toc 3"/>
    <w:basedOn w:val="Normal"/>
    <w:next w:val="Normal"/>
    <w:pPr>
      <w:spacing w:before="0" w:after="57"/>
      <w:ind w:left="567"/>
    </w:pPr>
    <w:rPr/>
  </w:style>
  <w:style w:type="paragraph" w:styleId="TOC4">
    <w:name w:val="toc 4"/>
    <w:basedOn w:val="Normal"/>
    <w:next w:val="Normal"/>
    <w:pPr>
      <w:spacing w:before="0" w:after="57"/>
      <w:ind w:left="850"/>
    </w:pPr>
    <w:rPr/>
  </w:style>
  <w:style w:type="paragraph" w:styleId="TOC5">
    <w:name w:val="toc 5"/>
    <w:basedOn w:val="Normal"/>
    <w:next w:val="Normal"/>
    <w:pPr>
      <w:spacing w:before="0" w:after="57"/>
      <w:ind w:left="1134"/>
    </w:pPr>
    <w:rPr/>
  </w:style>
  <w:style w:type="paragraph" w:styleId="TOC6">
    <w:name w:val="toc 6"/>
    <w:basedOn w:val="Normal"/>
    <w:next w:val="Normal"/>
    <w:pPr>
      <w:spacing w:before="0" w:after="57"/>
      <w:ind w:left="1417"/>
    </w:pPr>
    <w:rPr/>
  </w:style>
  <w:style w:type="paragraph" w:styleId="TOC7">
    <w:name w:val="toc 7"/>
    <w:basedOn w:val="Normal"/>
    <w:next w:val="Normal"/>
    <w:pPr>
      <w:spacing w:before="0" w:after="57"/>
      <w:ind w:left="1701"/>
    </w:pPr>
    <w:rPr/>
  </w:style>
  <w:style w:type="paragraph" w:styleId="TOC8">
    <w:name w:val="toc 8"/>
    <w:basedOn w:val="Normal"/>
    <w:next w:val="Normal"/>
    <w:pPr>
      <w:spacing w:before="0" w:after="57"/>
      <w:ind w:left="1984"/>
    </w:pPr>
    <w:rPr/>
  </w:style>
  <w:style w:type="paragraph" w:styleId="TOC9">
    <w:name w:val="toc 9"/>
    <w:basedOn w:val="Normal"/>
    <w:next w:val="Normal"/>
    <w:pPr>
      <w:spacing w:before="0" w:after="57"/>
      <w:ind w:left="2268"/>
    </w:pPr>
    <w:rPr/>
  </w:style>
  <w:style w:type="paragraph" w:styleId="TOCHeading">
    <w:name w:val="TOC Heading"/>
    <w:qFormat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TableofFigures">
    <w:name w:val="table of figures"/>
    <w:basedOn w:val="Normal"/>
    <w:next w:val="Normal"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22" w:customStyle="1">
    <w:name w:val="Заголовок2"/>
    <w:basedOn w:val="Normal"/>
    <w:next w:val="BodyText"/>
    <w:qFormat/>
    <w:pPr>
      <w:keepNext w:val="true"/>
      <w:spacing w:before="240" w:after="120"/>
    </w:pPr>
    <w:rPr>
      <w:rFonts w:ascii="PT Astra Serif;Times New Roman" w:hAnsi="PT Astra Serif;Times New Roman" w:eastAsia="Tahoma" w:cs="Noto Sans Devanagari;Vrinda"/>
      <w:szCs w:val="28"/>
    </w:rPr>
  </w:style>
  <w:style w:type="paragraph" w:styleId="23" w:customStyle="1">
    <w:name w:val="Указатель2"/>
    <w:basedOn w:val="Normal"/>
    <w:qFormat/>
    <w:pPr>
      <w:suppressLineNumbers/>
    </w:pPr>
    <w:rPr>
      <w:rFonts w:ascii="PT Astra Serif;Times New Roman" w:hAnsi="PT Astra Serif;Times New Roman" w:cs="Noto Sans Devanagari;Vrinda"/>
    </w:rPr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caption111111111" w:customStyle="1">
    <w:name w:val="caption11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caption1111111111" w:customStyle="1">
    <w:name w:val="caption111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14" w:customStyle="1">
    <w:name w:val="Название объекта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caption11111111111" w:customStyle="1">
    <w:name w:val="caption1111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caption111111111111" w:customStyle="1">
    <w:name w:val="caption11111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caption1111111111111" w:customStyle="1">
    <w:name w:val="caption111111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caption11111111111111" w:customStyle="1">
    <w:name w:val="caption1111111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caption111111111111111" w:customStyle="1">
    <w:name w:val="caption11111111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caption1111111111111111" w:customStyle="1">
    <w:name w:val="caption111111111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caption11111111111111111" w:customStyle="1">
    <w:name w:val="caption11111111111111111"/>
    <w:basedOn w:val="Normal"/>
    <w:qFormat/>
    <w:pPr>
      <w:suppressLineNumbers/>
      <w:spacing w:before="120" w:after="120"/>
    </w:pPr>
    <w:rPr>
      <w:rFonts w:ascii="PT Astra Serif;Times New Roman" w:hAnsi="PT Astra Serif;Times New Roman" w:cs="Noto Sans Devanagari;Vrinda"/>
      <w:i/>
      <w:iCs/>
      <w:sz w:val="24"/>
      <w:szCs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31" w:customStyle="1">
    <w:name w:val="Основной текст с отступом 31"/>
    <w:basedOn w:val="Normal"/>
    <w:qFormat/>
    <w:pPr>
      <w:ind w:firstLine="709"/>
    </w:pPr>
    <w:rPr/>
  </w:style>
  <w:style w:type="paragraph" w:styleId="15" w:customStyle="1">
    <w:name w:val="Текст примечания1"/>
    <w:basedOn w:val="Normal"/>
    <w:qFormat/>
    <w:pPr/>
    <w:rPr>
      <w:sz w:val="20"/>
    </w:rPr>
  </w:style>
  <w:style w:type="paragraph" w:styleId="annotationsubject">
    <w:name w:val="annotation subject"/>
    <w:basedOn w:val="15"/>
    <w:next w:val="15"/>
    <w:qFormat/>
    <w:pPr/>
    <w:rPr>
      <w:b/>
      <w:bCs/>
    </w:rPr>
  </w:style>
  <w:style w:type="paragraph" w:styleId="user4" w:customStyle="1">
    <w:name w:val="Колонтитулы (user)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Style18" w:customStyle="1">
    <w:name w:val="Колонтитулы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BodyTextIndent">
    <w:name w:val="Body Text Indent"/>
    <w:basedOn w:val="Normal"/>
    <w:pPr>
      <w:ind w:firstLine="720"/>
      <w:jc w:val="both"/>
    </w:pPr>
    <w:rPr/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NormalWeb">
    <w:name w:val="Normal (Web)"/>
    <w:basedOn w:val="Normal"/>
    <w:qFormat/>
    <w:pPr>
      <w:spacing w:before="100" w:after="100"/>
    </w:pPr>
    <w:rPr>
      <w:sz w:val="24"/>
      <w:szCs w:val="24"/>
    </w:rPr>
  </w:style>
  <w:style w:type="paragraph" w:styleId="311" w:customStyle="1">
    <w:name w:val="Основной текст 31"/>
    <w:basedOn w:val="Normal"/>
    <w:qFormat/>
    <w:pPr>
      <w:spacing w:before="0" w:after="120"/>
    </w:pPr>
    <w:rPr>
      <w:sz w:val="16"/>
      <w:szCs w:val="16"/>
    </w:rPr>
  </w:style>
  <w:style w:type="paragraph" w:styleId="211" w:customStyle="1">
    <w:name w:val="Основной текст с отступом 21"/>
    <w:basedOn w:val="Normal"/>
    <w:qFormat/>
    <w:pPr>
      <w:ind w:firstLine="720"/>
      <w:jc w:val="both"/>
    </w:pPr>
    <w:rPr/>
  </w:style>
  <w:style w:type="paragraph" w:styleId="Style41" w:customStyle="1">
    <w:name w:val="Style4"/>
    <w:basedOn w:val="Normal"/>
    <w:qFormat/>
    <w:pPr>
      <w:widowControl w:val="false"/>
      <w:spacing w:lineRule="exact" w:line="331"/>
      <w:jc w:val="both"/>
    </w:pPr>
    <w:rPr>
      <w:sz w:val="24"/>
      <w:szCs w:val="24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b/>
      <w:color w:val="auto"/>
      <w:kern w:val="0"/>
      <w:sz w:val="22"/>
      <w:szCs w:val="20"/>
      <w:lang w:val="ru-RU" w:eastAsia="zh-CN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user5" w:customStyle="1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6" w:customStyle="1">
    <w:name w:val="Заголовок таблицы (user)"/>
    <w:basedOn w:val="user5"/>
    <w:qFormat/>
    <w:pPr>
      <w:jc w:val="center"/>
    </w:pPr>
    <w:rPr>
      <w:b/>
      <w:bCs/>
    </w:rPr>
  </w:style>
  <w:style w:type="paragraph" w:styleId="user7" w:customStyle="1">
    <w:name w:val="Содержимое врезки (user)"/>
    <w:basedOn w:val="Normal"/>
    <w:qFormat/>
    <w:pPr/>
    <w:rPr/>
  </w:style>
  <w:style w:type="paragraph" w:styleId="212" w:customStyle="1">
    <w:name w:val="Основной текст (2)1"/>
    <w:basedOn w:val="Normal"/>
    <w:qFormat/>
    <w:pPr>
      <w:widowControl w:val="false"/>
      <w:shd w:val="clear" w:color="auto" w:fill="FFFFFF"/>
      <w:spacing w:lineRule="exact" w:line="307" w:before="660" w:after="0"/>
    </w:pPr>
    <w:rPr>
      <w:szCs w:val="28"/>
      <w:lang w:eastAsia="ru-RU"/>
    </w:rPr>
  </w:style>
  <w:style w:type="paragraph" w:styleId="Style19" w:customStyle="1">
    <w:name w:val="Комментарий"/>
    <w:basedOn w:val="Normal"/>
    <w:qFormat/>
    <w:pPr>
      <w:spacing w:before="56" w:after="0"/>
      <w:ind w:left="56" w:right="56"/>
    </w:pPr>
    <w:rPr>
      <w:sz w:val="20"/>
    </w:rPr>
  </w:style>
  <w:style w:type="paragraph" w:styleId="Style20" w:customStyle="1">
    <w:name w:val="Содержимое врезки"/>
    <w:basedOn w:val="Normal"/>
    <w:qFormat/>
    <w:pPr/>
    <w:rPr/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numbering" w:styleId="Style22" w:customStyle="1">
    <w:name w:val="Без списка"/>
    <w:qFormat/>
  </w:style>
  <w:style w:type="numbering" w:styleId="user8" w:customStyle="1">
    <w:name w:val="Без списка (user)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LibreOffice/25.2.6.2$Linux_X86_64 LibreOffice_project/520$Build-2</Application>
  <AppVersion>15.0000</AppVersion>
  <Pages>5</Pages>
  <Words>1128</Words>
  <Characters>8228</Characters>
  <CharactersWithSpaces>10313</CharactersWithSpaces>
  <Paragraphs>75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2026-07-20T07:41:00Z</dcterms:created>
  <dc:creator>Наталья</dc:creator>
  <dc:description/>
  <dc:language>ru-RU</dc:language>
  <cp:lastModifiedBy/>
  <cp:lastPrinted>2026-07-20T15:33:36Z</cp:lastPrinted>
  <dcterms:modified xsi:type="dcterms:W3CDTF">2026-07-20T15:34:34Z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27C6C13C26F045DD8E3DF3691DDD6F04</vt:lpwstr>
  </property>
  <property fmtid="{D5CDD505-2E9C-101B-9397-08002B2CF9AE}" pid="3" name="KSOProductBuildVer">
    <vt:lpwstr>1049-11.2.0.11254</vt:lpwstr>
  </property>
</Properties>
</file>